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174BA8" w:rsidP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1. Klasse     Deutsch schriftlich  / ZIELE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IDEEN, womit konkret sich das anstreben lässt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8D1C54" w:rsidRDefault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Kernnziele (permanent dran sein)</w:t>
            </w:r>
          </w:p>
          <w:p w:rsidR="005D1201" w:rsidRP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 </w:t>
            </w:r>
            <w:r w:rsidRPr="002F2588">
              <w:rPr>
                <w:rFonts w:ascii="Arial" w:hAnsi="Arial" w:cs="Arial"/>
                <w:bCs/>
                <w:i/>
                <w:sz w:val="30"/>
                <w:szCs w:val="30"/>
              </w:rPr>
              <w:t>-&gt; beachte: hier unten kommen keine Basisziele vor!</w:t>
            </w:r>
            <w:r>
              <w:rPr>
                <w:rFonts w:ascii="Arial" w:hAnsi="Arial" w:cs="Arial"/>
                <w:bCs/>
                <w:i/>
                <w:sz w:val="30"/>
                <w:szCs w:val="30"/>
              </w:rPr>
              <w:t xml:space="preserve"> </w:t>
            </w:r>
          </w:p>
          <w:p w:rsidR="00174BA8" w:rsidRPr="00637943" w:rsidRDefault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214" w:type="dxa"/>
            <w:shd w:val="clear" w:color="auto" w:fill="auto"/>
          </w:tcPr>
          <w:p w:rsid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8D1C54" w:rsidRP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1. Quintal: Sommer- bis Herbstferien 13</w:t>
            </w:r>
          </w:p>
          <w:p w:rsidR="008D1C54" w:rsidRDefault="008D1C54"/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174BA8" w:rsidRPr="008D1C54" w:rsidRDefault="008D1C54" w:rsidP="008D1C54">
            <w:pPr>
              <w:rPr>
                <w:rFonts w:ascii="Arial" w:hAnsi="Arial"/>
              </w:rPr>
            </w:pPr>
            <w:r w:rsidRPr="008D1C54">
              <w:rPr>
                <w:rFonts w:ascii="Arial" w:hAnsi="Arial"/>
              </w:rPr>
              <w:t xml:space="preserve">So </w:t>
            </w:r>
            <w:r>
              <w:rPr>
                <w:rFonts w:ascii="Arial" w:hAnsi="Arial"/>
              </w:rPr>
              <w:t>(verschieden / gem. Methodenfreiheit) arbeiten wir</w:t>
            </w:r>
            <w:r w:rsidRPr="008D1C54">
              <w:rPr>
                <w:rFonts w:ascii="Arial" w:hAnsi="Arial"/>
              </w:rPr>
              <w:t>: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637943">
        <w:tc>
          <w:tcPr>
            <w:tcW w:w="7213" w:type="dxa"/>
          </w:tcPr>
          <w:p w:rsidR="007817DF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</w:p>
          <w:p w:rsidR="00637943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Lautfolgen auflautieren und sie aufschreiben können</w:t>
            </w:r>
          </w:p>
        </w:tc>
        <w:tc>
          <w:tcPr>
            <w:tcW w:w="7214" w:type="dxa"/>
          </w:tcPr>
          <w:p w:rsidR="00135EC0" w:rsidRDefault="00135EC0"/>
          <w:p w:rsidR="00135EC0" w:rsidRPr="00135EC0" w:rsidRDefault="00135EC0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 w:rsidR="00854EB5">
              <w:rPr>
                <w:rFonts w:ascii="Arial" w:hAnsi="Arial"/>
              </w:rPr>
              <w:t xml:space="preserve"> "Lose Luege Läse" Seiten 5 - 15 und Werkstatt "Lupo"</w:t>
            </w:r>
          </w:p>
          <w:p w:rsidR="00135EC0" w:rsidRDefault="00135EC0">
            <w:pPr>
              <w:rPr>
                <w:rFonts w:ascii="Arial" w:hAnsi="Arial"/>
              </w:rPr>
            </w:pPr>
          </w:p>
          <w:p w:rsidR="00135EC0" w:rsidRPr="00135EC0" w:rsidRDefault="00135EC0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 w:rsidR="00854EB5">
              <w:rPr>
                <w:rFonts w:ascii="Arial" w:hAnsi="Arial"/>
              </w:rPr>
              <w:t xml:space="preserve"> "Das Buchstabenschloss" Seiten 4 - 18</w:t>
            </w:r>
          </w:p>
          <w:p w:rsidR="00135EC0" w:rsidRDefault="00135EC0">
            <w:pPr>
              <w:rPr>
                <w:rFonts w:ascii="Arial" w:hAnsi="Arial"/>
              </w:rPr>
            </w:pPr>
          </w:p>
          <w:p w:rsidR="00135EC0" w:rsidRPr="00135EC0" w:rsidRDefault="00135EC0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 w:rsidR="00854EB5">
              <w:rPr>
                <w:rFonts w:ascii="Arial" w:hAnsi="Arial"/>
              </w:rPr>
              <w:t xml:space="preserve"> "Die Buchstabenreise" Seiten 6 - 17</w:t>
            </w:r>
          </w:p>
          <w:p w:rsidR="00135EC0" w:rsidRDefault="00135EC0">
            <w:pPr>
              <w:rPr>
                <w:rFonts w:ascii="Arial" w:hAnsi="Arial"/>
              </w:rPr>
            </w:pPr>
          </w:p>
          <w:p w:rsidR="00637943" w:rsidRDefault="00135EC0">
            <w:r w:rsidRPr="00135EC0">
              <w:rPr>
                <w:rFonts w:ascii="Arial" w:hAnsi="Arial"/>
              </w:rPr>
              <w:t>Toni:</w:t>
            </w:r>
            <w:r w:rsidR="00854EB5">
              <w:rPr>
                <w:rFonts w:ascii="Arial" w:hAnsi="Arial"/>
              </w:rPr>
              <w:t xml:space="preserve"> Würelspiele, Werkstatt "Lupo", Buchstabentabelle</w:t>
            </w:r>
          </w:p>
        </w:tc>
      </w:tr>
      <w:tr w:rsidR="00637943">
        <w:tc>
          <w:tcPr>
            <w:tcW w:w="7213" w:type="dxa"/>
          </w:tcPr>
          <w:p w:rsidR="007817DF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</w:t>
            </w:r>
          </w:p>
          <w:p w:rsidR="00637943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Gross- und Kleinbuchstaben nach Laut und Gestalt kennen und sie schreiben können</w:t>
            </w:r>
          </w:p>
        </w:tc>
        <w:tc>
          <w:tcPr>
            <w:tcW w:w="7214" w:type="dxa"/>
          </w:tcPr>
          <w:p w:rsidR="005D1201" w:rsidRDefault="005D1201"/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 w:rsidR="00854EB5">
              <w:rPr>
                <w:rFonts w:ascii="Arial" w:hAnsi="Arial"/>
              </w:rPr>
              <w:t xml:space="preserve"> ....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 w:rsidR="00854EB5">
              <w:rPr>
                <w:rFonts w:ascii="Arial" w:hAnsi="Arial"/>
              </w:rPr>
              <w:t xml:space="preserve"> ....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 w:rsidR="00854EB5">
              <w:rPr>
                <w:rFonts w:ascii="Arial" w:hAnsi="Arial"/>
              </w:rPr>
              <w:t xml:space="preserve"> ...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637943" w:rsidRDefault="005D1201" w:rsidP="005D1201">
            <w:r w:rsidRPr="00135EC0">
              <w:rPr>
                <w:rFonts w:ascii="Arial" w:hAnsi="Arial"/>
              </w:rPr>
              <w:t>Toni:</w:t>
            </w:r>
            <w:r w:rsidR="00854EB5">
              <w:rPr>
                <w:rFonts w:ascii="Arial" w:hAnsi="Arial"/>
              </w:rPr>
              <w:t xml:space="preserve"> ...</w:t>
            </w:r>
          </w:p>
        </w:tc>
      </w:tr>
      <w:tr w:rsidR="00637943">
        <w:tc>
          <w:tcPr>
            <w:tcW w:w="7213" w:type="dxa"/>
          </w:tcPr>
          <w:p w:rsidR="007817DF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</w:t>
            </w:r>
          </w:p>
          <w:p w:rsidR="00637943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Formen der Schulschrift schreiben können</w:t>
            </w:r>
          </w:p>
        </w:tc>
        <w:tc>
          <w:tcPr>
            <w:tcW w:w="7214" w:type="dxa"/>
          </w:tcPr>
          <w:p w:rsidR="005D1201" w:rsidRDefault="005D1201"/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637943" w:rsidRDefault="005D1201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637943">
        <w:tc>
          <w:tcPr>
            <w:tcW w:w="7213" w:type="dxa"/>
          </w:tcPr>
          <w:p w:rsidR="007817DF" w:rsidRPr="005B02F4" w:rsidRDefault="0063794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</w:p>
          <w:p w:rsidR="007817DF" w:rsidRPr="005B02F4" w:rsidRDefault="007817DF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637943" w:rsidRPr="005B02F4" w:rsidRDefault="0063794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Die Handhabung der Schreibwerkzeuge beachten</w:t>
            </w:r>
          </w:p>
        </w:tc>
        <w:tc>
          <w:tcPr>
            <w:tcW w:w="7214" w:type="dxa"/>
          </w:tcPr>
          <w:p w:rsidR="005D1201" w:rsidRDefault="005D1201"/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637943" w:rsidRDefault="005D1201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7F5585">
        <w:tc>
          <w:tcPr>
            <w:tcW w:w="7213" w:type="dxa"/>
          </w:tcPr>
          <w:p w:rsidR="00637943" w:rsidRPr="005B02F4" w:rsidRDefault="00637943">
            <w:pPr>
              <w:rPr>
                <w:b/>
              </w:rPr>
            </w:pPr>
          </w:p>
          <w:p w:rsidR="007F5585" w:rsidRPr="005B02F4" w:rsidRDefault="007F5585">
            <w:pPr>
              <w:rPr>
                <w:b/>
              </w:rPr>
            </w:pPr>
          </w:p>
        </w:tc>
        <w:tc>
          <w:tcPr>
            <w:tcW w:w="7214" w:type="dxa"/>
          </w:tcPr>
          <w:p w:rsidR="007F5585" w:rsidRDefault="007F5585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C06F46">
        <w:tc>
          <w:tcPr>
            <w:tcW w:w="7213" w:type="dxa"/>
          </w:tcPr>
          <w:p w:rsidR="007817DF" w:rsidRPr="005B02F4" w:rsidRDefault="00637943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</w:p>
          <w:p w:rsidR="007817DF" w:rsidRPr="005B02F4" w:rsidRDefault="00637943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Sprachlichen Grundstrukturen in Sätzen, Einzelwörtern und Einzellauten ohne gramma</w:t>
            </w:r>
            <w:r w:rsidR="007817DF"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-</w:t>
            </w:r>
          </w:p>
          <w:p w:rsidR="00C06F46" w:rsidRPr="005B02F4" w:rsidRDefault="007817DF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tikalische Grundbegriffe verwen</w:t>
            </w:r>
            <w:r w:rsidR="00637943"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den begegnen</w:t>
            </w:r>
          </w:p>
        </w:tc>
        <w:tc>
          <w:tcPr>
            <w:tcW w:w="7214" w:type="dxa"/>
          </w:tcPr>
          <w:p w:rsidR="005D1201" w:rsidRDefault="005D1201"/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5D1201" w:rsidRPr="00135EC0" w:rsidRDefault="005D1201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5D1201" w:rsidRDefault="005D1201" w:rsidP="005D1201">
            <w:pPr>
              <w:rPr>
                <w:rFonts w:ascii="Arial" w:hAnsi="Arial"/>
              </w:rPr>
            </w:pPr>
          </w:p>
          <w:p w:rsidR="00C06F46" w:rsidRDefault="005D1201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7F5585">
        <w:tc>
          <w:tcPr>
            <w:tcW w:w="7213" w:type="dxa"/>
            <w:shd w:val="clear" w:color="auto" w:fill="0000FF"/>
          </w:tcPr>
          <w:p w:rsidR="00637943" w:rsidRPr="002B6F07" w:rsidRDefault="002B6F07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</w:p>
          <w:p w:rsidR="007F5585" w:rsidRPr="002B6F07" w:rsidRDefault="007F5585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7F5585" w:rsidRPr="002B6F07" w:rsidRDefault="007F5585">
            <w:pPr>
              <w:rPr>
                <w:color w:val="FFFFFF" w:themeColor="background1"/>
              </w:rPr>
            </w:pPr>
          </w:p>
        </w:tc>
      </w:tr>
      <w:tr w:rsidR="002B6F07">
        <w:tc>
          <w:tcPr>
            <w:tcW w:w="7213" w:type="dxa"/>
          </w:tcPr>
          <w:p w:rsidR="002B6F07" w:rsidRPr="00143EDA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3EDA">
              <w:rPr>
                <w:rFonts w:ascii="Arial" w:hAnsi="Arial" w:cs="Arial"/>
                <w:b/>
                <w:bCs/>
                <w:sz w:val="30"/>
                <w:szCs w:val="30"/>
              </w:rPr>
              <w:t>a Aufeinander hören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c>
          <w:tcPr>
            <w:tcW w:w="7213" w:type="dxa"/>
          </w:tcPr>
          <w:p w:rsidR="002B6F07" w:rsidRPr="00143EDA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3EDA">
              <w:rPr>
                <w:rFonts w:ascii="Arial" w:hAnsi="Arial" w:cs="Arial"/>
                <w:b/>
                <w:bCs/>
                <w:sz w:val="30"/>
                <w:szCs w:val="30"/>
              </w:rPr>
              <w:t>a Genau zuhören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c>
          <w:tcPr>
            <w:tcW w:w="7213" w:type="dxa"/>
          </w:tcPr>
          <w:p w:rsidR="002B6F07" w:rsidRPr="00143EDA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3EDA">
              <w:rPr>
                <w:rFonts w:ascii="Arial" w:hAnsi="Arial" w:cs="Arial"/>
                <w:b/>
                <w:bCs/>
                <w:sz w:val="30"/>
                <w:szCs w:val="30"/>
              </w:rPr>
              <w:t>a Fragen formulieren lernen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c>
          <w:tcPr>
            <w:tcW w:w="7213" w:type="dxa"/>
          </w:tcPr>
          <w:p w:rsidR="002B6F07" w:rsidRPr="00143EDA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143EDA">
              <w:rPr>
                <w:rFonts w:ascii="Arial" w:hAnsi="Arial" w:cs="Arial"/>
                <w:b/>
                <w:bCs/>
                <w:sz w:val="30"/>
                <w:szCs w:val="30"/>
              </w:rPr>
              <w:t>a Sich äussern, mitteilen und ausdrücken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c>
          <w:tcPr>
            <w:tcW w:w="7213" w:type="dxa"/>
          </w:tcPr>
          <w:p w:rsidR="002B6F07" w:rsidRPr="005B02F4" w:rsidRDefault="002B6F07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</w:p>
          <w:p w:rsidR="002B6F07" w:rsidRPr="005B02F4" w:rsidRDefault="002B6F07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Sprachlichen Grundstrukturen in Sätzen, Einzelwörtern und Einzellauten ohne gramma-</w:t>
            </w:r>
          </w:p>
          <w:p w:rsidR="002B6F07" w:rsidRDefault="002B6F07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sz w:val="30"/>
                <w:szCs w:val="30"/>
              </w:rPr>
              <w:t>tikalische Grundbegriffe verwenden begegnen</w:t>
            </w:r>
          </w:p>
          <w:p w:rsidR="002B6F07" w:rsidRPr="005B02F4" w:rsidRDefault="002B6F07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214" w:type="dxa"/>
          </w:tcPr>
          <w:p w:rsidR="002B6F07" w:rsidRDefault="002B6F07"/>
          <w:p w:rsidR="002B6F07" w:rsidRDefault="002B6F07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C524D5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524D5">
              <w:rPr>
                <w:rFonts w:ascii="Arial" w:hAnsi="Arial" w:cs="Arial"/>
                <w:b/>
                <w:bCs/>
                <w:sz w:val="30"/>
                <w:szCs w:val="30"/>
              </w:rPr>
              <w:t>a Die Sprache mit allen Sinnen erleben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Default="002B6F0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524D5">
              <w:rPr>
                <w:rFonts w:ascii="Arial" w:hAnsi="Arial" w:cs="Arial"/>
                <w:b/>
                <w:bCs/>
                <w:sz w:val="30"/>
                <w:szCs w:val="30"/>
              </w:rPr>
              <w:t>a Im Erzählen, Spielen und in der Auswertung der Lesestoffe auch der Standardsprache begegnen</w:t>
            </w:r>
          </w:p>
          <w:p w:rsidR="002B6F07" w:rsidRDefault="002B6F07"/>
        </w:tc>
        <w:tc>
          <w:tcPr>
            <w:tcW w:w="7214" w:type="dxa"/>
          </w:tcPr>
          <w:p w:rsidR="002B6F07" w:rsidRDefault="002B6F07"/>
        </w:tc>
      </w:tr>
      <w:tr w:rsid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2B6F07" w:rsidRPr="002B6F07" w:rsidRDefault="002B6F07">
            <w:pPr>
              <w:rPr>
                <w:b/>
                <w:color w:val="FFFFFF" w:themeColor="background1"/>
              </w:rPr>
            </w:pPr>
          </w:p>
          <w:p w:rsidR="002B6F07" w:rsidRPr="002B6F07" w:rsidRDefault="002B6F07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Sprechschulung</w:t>
            </w:r>
          </w:p>
        </w:tc>
        <w:tc>
          <w:tcPr>
            <w:tcW w:w="7214" w:type="dxa"/>
            <w:shd w:val="clear" w:color="auto" w:fill="0000FF"/>
          </w:tcPr>
          <w:p w:rsidR="002B6F07" w:rsidRPr="002B6F07" w:rsidRDefault="002B6F07">
            <w:pPr>
              <w:rPr>
                <w:color w:val="FFFFFF" w:themeColor="background1"/>
              </w:rPr>
            </w:pPr>
          </w:p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A93DA0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93DA0">
              <w:rPr>
                <w:rFonts w:ascii="Arial" w:hAnsi="Arial" w:cs="Arial"/>
                <w:b/>
                <w:bCs/>
                <w:sz w:val="30"/>
                <w:szCs w:val="30"/>
              </w:rPr>
              <w:t>a In der Mundart eine gute Artikulation erarbeiten</w:t>
            </w:r>
          </w:p>
        </w:tc>
        <w:tc>
          <w:tcPr>
            <w:tcW w:w="7214" w:type="dxa"/>
          </w:tcPr>
          <w:p w:rsidR="002B6F07" w:rsidRPr="00135EC0" w:rsidRDefault="002B6F0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2B6F07" w:rsidRDefault="002B6F07" w:rsidP="002B6F07">
            <w:pPr>
              <w:rPr>
                <w:rFonts w:ascii="Arial" w:hAnsi="Arial"/>
              </w:rPr>
            </w:pPr>
          </w:p>
          <w:p w:rsidR="002B6F07" w:rsidRPr="00135EC0" w:rsidRDefault="002B6F0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2B6F07" w:rsidRDefault="002B6F07" w:rsidP="002B6F07">
            <w:pPr>
              <w:rPr>
                <w:rFonts w:ascii="Arial" w:hAnsi="Arial"/>
              </w:rPr>
            </w:pPr>
          </w:p>
          <w:p w:rsidR="002B6F07" w:rsidRPr="00135EC0" w:rsidRDefault="002B6F0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2B6F07" w:rsidRDefault="002B6F07" w:rsidP="002B6F07">
            <w:pPr>
              <w:rPr>
                <w:rFonts w:ascii="Arial" w:hAnsi="Arial"/>
              </w:rPr>
            </w:pPr>
          </w:p>
          <w:p w:rsidR="002B6F07" w:rsidRDefault="002B6F07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A93DA0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93DA0">
              <w:rPr>
                <w:rFonts w:ascii="Arial" w:hAnsi="Arial" w:cs="Arial"/>
                <w:b/>
                <w:bCs/>
                <w:sz w:val="30"/>
                <w:szCs w:val="30"/>
              </w:rPr>
              <w:t>a Sich mit der Lautung der Standardsprache vertraut machen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2B6F07" w:rsidRDefault="002B6F07">
            <w:r w:rsidRPr="002B6F07">
              <w:rPr>
                <w:rFonts w:ascii="Arial" w:hAnsi="Arial" w:cs="Arial"/>
                <w:b/>
                <w:bCs/>
                <w:sz w:val="30"/>
                <w:szCs w:val="30"/>
              </w:rPr>
              <w:t>a Laute und Lautverbindungen (Phonetik) erfassen und unterscheiden</w:t>
            </w:r>
          </w:p>
        </w:tc>
        <w:tc>
          <w:tcPr>
            <w:tcW w:w="7214" w:type="dxa"/>
          </w:tcPr>
          <w:p w:rsidR="002B6F07" w:rsidRDefault="002B6F07"/>
          <w:p w:rsidR="002B6F07" w:rsidRPr="00135EC0" w:rsidRDefault="002B6F07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2B6F07" w:rsidRDefault="002B6F07" w:rsidP="005D1201">
            <w:pPr>
              <w:rPr>
                <w:rFonts w:ascii="Arial" w:hAnsi="Arial"/>
              </w:rPr>
            </w:pPr>
          </w:p>
          <w:p w:rsidR="002B6F07" w:rsidRPr="00135EC0" w:rsidRDefault="002B6F07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2B6F07" w:rsidRDefault="002B6F07" w:rsidP="005D1201">
            <w:pPr>
              <w:rPr>
                <w:rFonts w:ascii="Arial" w:hAnsi="Arial"/>
              </w:rPr>
            </w:pPr>
          </w:p>
          <w:p w:rsidR="002B6F07" w:rsidRPr="00135EC0" w:rsidRDefault="002B6F07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2B6F07" w:rsidRDefault="002B6F07" w:rsidP="005D1201">
            <w:pPr>
              <w:rPr>
                <w:rFonts w:ascii="Arial" w:hAnsi="Arial"/>
              </w:rPr>
            </w:pPr>
          </w:p>
          <w:p w:rsidR="002B6F07" w:rsidRDefault="002B6F07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2B6F07" w:rsidRPr="002B6F07" w:rsidRDefault="002B6F07">
            <w:pPr>
              <w:rPr>
                <w:b/>
                <w:color w:val="FFFFFF" w:themeColor="background1"/>
              </w:rPr>
            </w:pPr>
          </w:p>
          <w:p w:rsidR="002B6F07" w:rsidRPr="002B6F07" w:rsidRDefault="002B6F07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2B6F07" w:rsidRPr="002B6F07" w:rsidRDefault="002B6F07">
            <w:pPr>
              <w:rPr>
                <w:color w:val="FFFFFF" w:themeColor="background1"/>
                <w:highlight w:val="blue"/>
              </w:rPr>
            </w:pPr>
          </w:p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D3796C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3796C"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2B6F07" w:rsidRPr="00135EC0" w:rsidRDefault="002B6F0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2B6F07" w:rsidRDefault="002B6F07" w:rsidP="002B6F07">
            <w:pPr>
              <w:rPr>
                <w:rFonts w:ascii="Arial" w:hAnsi="Arial"/>
              </w:rPr>
            </w:pPr>
          </w:p>
          <w:p w:rsidR="002B6F07" w:rsidRPr="00135EC0" w:rsidRDefault="002B6F0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2B6F07" w:rsidRDefault="002B6F07" w:rsidP="002B6F07">
            <w:pPr>
              <w:rPr>
                <w:rFonts w:ascii="Arial" w:hAnsi="Arial"/>
              </w:rPr>
            </w:pPr>
          </w:p>
          <w:p w:rsidR="002B6F07" w:rsidRPr="00135EC0" w:rsidRDefault="002B6F0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2B6F07" w:rsidRDefault="002B6F07" w:rsidP="002B6F07">
            <w:pPr>
              <w:rPr>
                <w:rFonts w:ascii="Arial" w:hAnsi="Arial"/>
              </w:rPr>
            </w:pPr>
          </w:p>
          <w:p w:rsidR="002B6F07" w:rsidRDefault="002B6F07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D3796C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3796C">
              <w:rPr>
                <w:rFonts w:ascii="Arial" w:hAnsi="Arial" w:cs="Arial"/>
                <w:b/>
                <w:bCs/>
                <w:sz w:val="30"/>
                <w:szCs w:val="30"/>
              </w:rPr>
              <w:t>f Lautfolgen auflautieren können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D3796C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3796C">
              <w:rPr>
                <w:rFonts w:ascii="Arial" w:hAnsi="Arial" w:cs="Arial"/>
                <w:b/>
                <w:bCs/>
                <w:sz w:val="30"/>
                <w:szCs w:val="30"/>
              </w:rPr>
              <w:t>f Buchstaben nach Laut und Gestalt kennen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blPrEx>
          <w:tblLook w:val="04A0"/>
        </w:tblPrEx>
        <w:tc>
          <w:tcPr>
            <w:tcW w:w="7213" w:type="dxa"/>
          </w:tcPr>
          <w:p w:rsidR="002B6F07" w:rsidRPr="00D3796C" w:rsidRDefault="002B6F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3796C">
              <w:rPr>
                <w:rFonts w:ascii="Arial" w:hAnsi="Arial" w:cs="Arial"/>
                <w:b/>
                <w:bCs/>
                <w:sz w:val="30"/>
                <w:szCs w:val="30"/>
              </w:rPr>
              <w:t>f Buchstaben in deren Lautgehalt umwandeln und den Wortsinn erfassen können</w:t>
            </w:r>
          </w:p>
        </w:tc>
        <w:tc>
          <w:tcPr>
            <w:tcW w:w="7214" w:type="dxa"/>
          </w:tcPr>
          <w:p w:rsidR="002B6F07" w:rsidRDefault="002B6F07"/>
        </w:tc>
      </w:tr>
      <w:tr w:rsidR="002B6F07">
        <w:tblPrEx>
          <w:tblLook w:val="04A0"/>
        </w:tblPrEx>
        <w:tc>
          <w:tcPr>
            <w:tcW w:w="7213" w:type="dxa"/>
          </w:tcPr>
          <w:p w:rsidR="00E80BE4" w:rsidRDefault="002B6F0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3796C">
              <w:rPr>
                <w:rFonts w:ascii="Arial" w:hAnsi="Arial" w:cs="Arial"/>
                <w:b/>
                <w:bCs/>
                <w:sz w:val="30"/>
                <w:szCs w:val="30"/>
              </w:rPr>
              <w:t>a Den Inhalt kurzer erarbeiteter Text verstehen und erzählen</w:t>
            </w:r>
          </w:p>
          <w:p w:rsidR="002B6F07" w:rsidRDefault="002B6F07"/>
        </w:tc>
        <w:tc>
          <w:tcPr>
            <w:tcW w:w="7214" w:type="dxa"/>
          </w:tcPr>
          <w:p w:rsidR="002B6F07" w:rsidRDefault="002B6F07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75673"/>
    <w:rsid w:val="00135EC0"/>
    <w:rsid w:val="00174BA8"/>
    <w:rsid w:val="001B1178"/>
    <w:rsid w:val="002B6F07"/>
    <w:rsid w:val="002F2588"/>
    <w:rsid w:val="005B02F4"/>
    <w:rsid w:val="005D1201"/>
    <w:rsid w:val="00637943"/>
    <w:rsid w:val="007817DF"/>
    <w:rsid w:val="007F5585"/>
    <w:rsid w:val="00854EB5"/>
    <w:rsid w:val="008D1C54"/>
    <w:rsid w:val="00943315"/>
    <w:rsid w:val="00AF4826"/>
    <w:rsid w:val="00C06F46"/>
    <w:rsid w:val="00E80BE4"/>
    <w:rsid w:val="00EB6EAE"/>
    <w:rsid w:val="00ED17AF"/>
    <w:rsid w:val="00F3288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1670</Characters>
  <Application>Microsoft Word 12.1.0</Application>
  <DocSecurity>0</DocSecurity>
  <Lines>13</Lines>
  <Paragraphs>3</Paragraphs>
  <ScaleCrop>false</ScaleCrop>
  <Company> </Company>
  <LinksUpToDate>false</LinksUpToDate>
  <CharactersWithSpaces>2050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14</cp:revision>
  <dcterms:created xsi:type="dcterms:W3CDTF">2013-06-18T11:18:00Z</dcterms:created>
  <dcterms:modified xsi:type="dcterms:W3CDTF">2013-06-27T07:56:00Z</dcterms:modified>
</cp:coreProperties>
</file>